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144"/>
        <w:gridCol w:w="1143"/>
        <w:gridCol w:w="1999"/>
        <w:gridCol w:w="1000"/>
        <w:gridCol w:w="858"/>
      </w:tblGrid>
      <w:tr w14:paraId="2EAF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6" w:type="dxa"/>
            <w:vAlign w:val="center"/>
          </w:tcPr>
          <w:p w14:paraId="5E9DACF5">
            <w:pPr>
              <w:spacing w:line="240" w:lineRule="auto"/>
              <w:ind w:left="-256" w:leftChars="-122" w:firstLine="282"/>
              <w:jc w:val="center"/>
            </w:pPr>
            <w:r>
              <w:t>文件名称</w:t>
            </w:r>
          </w:p>
        </w:tc>
        <w:tc>
          <w:tcPr>
            <w:tcW w:w="2144" w:type="dxa"/>
            <w:vAlign w:val="center"/>
          </w:tcPr>
          <w:p w14:paraId="29953DDA">
            <w:pPr>
              <w:spacing w:line="240" w:lineRule="auto"/>
              <w:ind w:left="-256" w:leftChars="-122" w:firstLine="282"/>
              <w:jc w:val="center"/>
              <w:rPr>
                <w:b/>
              </w:rPr>
            </w:pPr>
            <w:r>
              <w:rPr>
                <w:b/>
              </w:rPr>
              <w:t>医学伦理委员会章程</w:t>
            </w:r>
          </w:p>
        </w:tc>
        <w:tc>
          <w:tcPr>
            <w:tcW w:w="1143" w:type="dxa"/>
            <w:vAlign w:val="center"/>
          </w:tcPr>
          <w:p w14:paraId="6D06602A">
            <w:pPr>
              <w:spacing w:line="240" w:lineRule="auto"/>
              <w:ind w:left="-256" w:leftChars="-122" w:firstLine="282"/>
              <w:jc w:val="center"/>
            </w:pPr>
            <w:r>
              <w:rPr>
                <w:szCs w:val="21"/>
              </w:rPr>
              <w:t>文件编号</w:t>
            </w:r>
          </w:p>
        </w:tc>
        <w:tc>
          <w:tcPr>
            <w:tcW w:w="1999" w:type="dxa"/>
            <w:vAlign w:val="center"/>
          </w:tcPr>
          <w:p w14:paraId="382FF104">
            <w:pPr>
              <w:spacing w:line="240" w:lineRule="auto"/>
              <w:ind w:left="-256" w:leftChars="-122" w:firstLine="282"/>
              <w:jc w:val="center"/>
              <w:rPr>
                <w:rFonts w:ascii="Times New Roman" w:hAnsi="Times New Roman" w:cs="Times New Roman"/>
                <w:highlight w:val="none"/>
              </w:rPr>
            </w:pPr>
            <w:r>
              <w:rPr>
                <w:rFonts w:ascii="Times New Roman" w:hAnsi="Times New Roman" w:cs="Times New Roman"/>
                <w:color w:val="000000"/>
                <w:sz w:val="22"/>
                <w:highlight w:val="none"/>
              </w:rPr>
              <w:t>IEC-ZD-01.01</w:t>
            </w:r>
            <w:r>
              <w:rPr>
                <w:rFonts w:ascii="Times New Roman" w:hAnsi="Times New Roman" w:cs="Times New Roman"/>
                <w:sz w:val="22"/>
                <w:highlight w:val="none"/>
              </w:rPr>
              <w:t>-</w:t>
            </w:r>
            <w:r>
              <w:rPr>
                <w:rFonts w:hint="eastAsia" w:ascii="Times New Roman" w:hAnsi="Times New Roman" w:cs="Times New Roman"/>
                <w:sz w:val="22"/>
                <w:highlight w:val="none"/>
              </w:rPr>
              <w:t>3</w:t>
            </w:r>
            <w:r>
              <w:rPr>
                <w:rFonts w:ascii="Times New Roman" w:hAnsi="Times New Roman" w:cs="Times New Roman"/>
                <w:sz w:val="22"/>
                <w:highlight w:val="none"/>
              </w:rPr>
              <w:t>.0</w:t>
            </w:r>
          </w:p>
        </w:tc>
        <w:tc>
          <w:tcPr>
            <w:tcW w:w="1000" w:type="dxa"/>
            <w:vAlign w:val="center"/>
          </w:tcPr>
          <w:p w14:paraId="5606741C">
            <w:pPr>
              <w:spacing w:line="240" w:lineRule="auto"/>
              <w:ind w:left="-256" w:leftChars="-122" w:firstLine="282"/>
              <w:jc w:val="center"/>
              <w:rPr>
                <w:rFonts w:ascii="Times New Roman" w:hAnsi="Times New Roman" w:cs="Times New Roman"/>
                <w:highlight w:val="none"/>
              </w:rPr>
            </w:pPr>
            <w:r>
              <w:rPr>
                <w:rFonts w:ascii="Times New Roman" w:cs="Times New Roman"/>
                <w:szCs w:val="21"/>
                <w:highlight w:val="none"/>
              </w:rPr>
              <w:t>总页数</w:t>
            </w:r>
          </w:p>
        </w:tc>
        <w:tc>
          <w:tcPr>
            <w:tcW w:w="858" w:type="dxa"/>
            <w:vAlign w:val="center"/>
          </w:tcPr>
          <w:p w14:paraId="785C8A6A">
            <w:pPr>
              <w:spacing w:line="240" w:lineRule="auto"/>
              <w:ind w:left="-256" w:leftChars="-122" w:firstLine="282"/>
              <w:jc w:val="center"/>
              <w:rPr>
                <w:rFonts w:ascii="Times New Roman" w:hAnsi="Times New Roman" w:cs="Times New Roman"/>
                <w:highlight w:val="none"/>
              </w:rPr>
            </w:pPr>
            <w:r>
              <w:rPr>
                <w:rFonts w:hint="eastAsia" w:ascii="Times New Roman" w:hAnsi="Times New Roman" w:cs="Times New Roman"/>
                <w:highlight w:val="none"/>
              </w:rPr>
              <w:t>5</w:t>
            </w:r>
          </w:p>
        </w:tc>
      </w:tr>
      <w:tr w14:paraId="145B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46" w:type="dxa"/>
            <w:vAlign w:val="center"/>
          </w:tcPr>
          <w:p w14:paraId="27C2F0CD">
            <w:pPr>
              <w:spacing w:line="240" w:lineRule="auto"/>
              <w:ind w:left="-256" w:leftChars="-122" w:firstLine="282"/>
              <w:jc w:val="center"/>
            </w:pPr>
            <w:r>
              <w:rPr>
                <w:rFonts w:hint="eastAsia"/>
              </w:rPr>
              <w:t>文件</w:t>
            </w:r>
            <w:r>
              <w:t>类别</w:t>
            </w:r>
          </w:p>
        </w:tc>
        <w:tc>
          <w:tcPr>
            <w:tcW w:w="2144" w:type="dxa"/>
            <w:vAlign w:val="center"/>
          </w:tcPr>
          <w:p w14:paraId="753E187D">
            <w:pPr>
              <w:spacing w:line="240" w:lineRule="auto"/>
              <w:ind w:left="-256" w:leftChars="-122" w:firstLine="282"/>
              <w:jc w:val="left"/>
              <w:rPr>
                <w:b/>
              </w:rPr>
            </w:pPr>
            <w:r>
              <w:rPr>
                <w:rFonts w:hint="eastAsia"/>
                <w:b/>
                <w:szCs w:val="21"/>
              </w:rPr>
              <w:t>管理制度</w:t>
            </w:r>
          </w:p>
        </w:tc>
        <w:tc>
          <w:tcPr>
            <w:tcW w:w="1143" w:type="dxa"/>
            <w:vAlign w:val="center"/>
          </w:tcPr>
          <w:p w14:paraId="64B81377">
            <w:pPr>
              <w:spacing w:line="240" w:lineRule="auto"/>
              <w:ind w:left="-256" w:leftChars="-122" w:firstLine="282"/>
              <w:jc w:val="center"/>
            </w:pPr>
            <w:r>
              <w:rPr>
                <w:szCs w:val="21"/>
              </w:rPr>
              <w:t>版本日期</w:t>
            </w:r>
          </w:p>
        </w:tc>
        <w:tc>
          <w:tcPr>
            <w:tcW w:w="1999" w:type="dxa"/>
            <w:vAlign w:val="center"/>
          </w:tcPr>
          <w:p w14:paraId="68051965">
            <w:pPr>
              <w:spacing w:line="240" w:lineRule="auto"/>
              <w:ind w:left="-256" w:leftChars="-122" w:firstLine="282"/>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rPr>
              <w:t>202</w:t>
            </w:r>
            <w:r>
              <w:rPr>
                <w:rFonts w:hint="eastAsia" w:ascii="Times New Roman" w:hAnsi="Times New Roman" w:cs="Times New Roman"/>
                <w:highlight w:val="none"/>
                <w:lang w:val="en-US" w:eastAsia="zh-CN"/>
              </w:rPr>
              <w:t>4</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20</w:t>
            </w:r>
          </w:p>
        </w:tc>
        <w:tc>
          <w:tcPr>
            <w:tcW w:w="1000" w:type="dxa"/>
            <w:vAlign w:val="center"/>
          </w:tcPr>
          <w:p w14:paraId="507946CF">
            <w:pPr>
              <w:spacing w:line="240" w:lineRule="auto"/>
              <w:ind w:left="-256" w:leftChars="-122" w:firstLine="282"/>
              <w:jc w:val="center"/>
              <w:rPr>
                <w:rFonts w:ascii="Times New Roman" w:hAnsi="Times New Roman" w:cs="Times New Roman"/>
                <w:highlight w:val="none"/>
              </w:rPr>
            </w:pPr>
            <w:r>
              <w:rPr>
                <w:rFonts w:ascii="Times New Roman" w:cs="Times New Roman"/>
                <w:szCs w:val="21"/>
                <w:highlight w:val="none"/>
              </w:rPr>
              <w:t>版本号</w:t>
            </w:r>
          </w:p>
        </w:tc>
        <w:tc>
          <w:tcPr>
            <w:tcW w:w="858" w:type="dxa"/>
            <w:vAlign w:val="center"/>
          </w:tcPr>
          <w:p w14:paraId="64839925">
            <w:pPr>
              <w:spacing w:line="240" w:lineRule="auto"/>
              <w:ind w:left="-256" w:leftChars="-122" w:firstLine="282"/>
              <w:jc w:val="center"/>
              <w:rPr>
                <w:rFonts w:hint="eastAsia" w:ascii="Times New Roman" w:hAnsi="Times New Roman" w:cs="Times New Roman" w:eastAsiaTheme="minorEastAsia"/>
                <w:highlight w:val="none"/>
                <w:lang w:val="en-US" w:eastAsia="zh-CN"/>
              </w:rPr>
            </w:pPr>
            <w:r>
              <w:rPr>
                <w:rFonts w:hint="eastAsia" w:ascii="Times New Roman" w:hAnsi="Times New Roman" w:cs="Times New Roman"/>
                <w:szCs w:val="21"/>
                <w:highlight w:val="none"/>
              </w:rPr>
              <w:t>3.</w:t>
            </w:r>
            <w:r>
              <w:rPr>
                <w:rFonts w:hint="eastAsia" w:ascii="Times New Roman" w:hAnsi="Times New Roman" w:cs="Times New Roman"/>
                <w:szCs w:val="21"/>
                <w:highlight w:val="none"/>
                <w:lang w:val="en-US" w:eastAsia="zh-CN"/>
              </w:rPr>
              <w:t>1</w:t>
            </w:r>
          </w:p>
        </w:tc>
      </w:tr>
    </w:tbl>
    <w:p w14:paraId="35A10791">
      <w:pPr>
        <w:spacing w:line="360" w:lineRule="auto"/>
        <w:ind w:left="0" w:leftChars="0" w:firstLine="0"/>
        <w:jc w:val="center"/>
        <w:rPr>
          <w:rFonts w:ascii="黑体" w:hAnsi="黑体" w:eastAsia="黑体"/>
          <w:sz w:val="30"/>
          <w:szCs w:val="30"/>
        </w:rPr>
      </w:pPr>
    </w:p>
    <w:p w14:paraId="22ECD642">
      <w:pPr>
        <w:spacing w:line="360" w:lineRule="auto"/>
        <w:ind w:left="0" w:leftChars="0" w:firstLine="0"/>
        <w:jc w:val="center"/>
        <w:rPr>
          <w:rFonts w:ascii="黑体" w:hAnsi="黑体" w:eastAsia="黑体"/>
          <w:sz w:val="30"/>
          <w:szCs w:val="30"/>
        </w:rPr>
      </w:pPr>
      <w:r>
        <w:rPr>
          <w:rFonts w:ascii="黑体" w:hAnsi="黑体" w:eastAsia="黑体"/>
          <w:sz w:val="30"/>
          <w:szCs w:val="30"/>
        </w:rPr>
        <w:t>医学伦理委员会章程</w:t>
      </w:r>
      <w:bookmarkStart w:id="0" w:name="_GoBack"/>
      <w:bookmarkEnd w:id="0"/>
    </w:p>
    <w:p w14:paraId="604AF3CB">
      <w:pPr>
        <w:spacing w:line="360" w:lineRule="auto"/>
        <w:ind w:left="0" w:leftChars="0" w:firstLine="0"/>
        <w:jc w:val="center"/>
        <w:rPr>
          <w:rFonts w:ascii="黑体" w:hAnsi="黑体" w:eastAsia="黑体"/>
          <w:sz w:val="28"/>
          <w:szCs w:val="28"/>
        </w:rPr>
      </w:pPr>
      <w:r>
        <w:rPr>
          <w:rFonts w:hint="eastAsia" w:ascii="黑体" w:hAnsi="黑体" w:eastAsia="黑体"/>
          <w:sz w:val="28"/>
          <w:szCs w:val="28"/>
        </w:rPr>
        <w:t>第一章  总  则</w:t>
      </w:r>
    </w:p>
    <w:p w14:paraId="2D8031A6">
      <w:pPr>
        <w:pStyle w:val="8"/>
        <w:spacing w:line="360" w:lineRule="auto"/>
        <w:ind w:left="0" w:leftChars="0" w:firstLine="484" w:firstLineChars="202"/>
        <w:rPr>
          <w:sz w:val="24"/>
          <w:szCs w:val="24"/>
        </w:rPr>
      </w:pPr>
      <w:r>
        <w:rPr>
          <w:rFonts w:hint="eastAsia"/>
          <w:sz w:val="24"/>
          <w:szCs w:val="24"/>
        </w:rPr>
        <w:t>第一条 为规范管理我院伦理工作，保证医院涉及人的生物医学研究工作符合伦理要求，</w:t>
      </w:r>
      <w:r>
        <w:rPr>
          <w:rFonts w:hint="eastAsia" w:cs="Arial" w:asciiTheme="majorEastAsia" w:hAnsiTheme="majorEastAsia" w:eastAsiaTheme="majorEastAsia"/>
          <w:color w:val="000000"/>
          <w:kern w:val="0"/>
          <w:sz w:val="24"/>
          <w:szCs w:val="24"/>
          <w:shd w:val="clear" w:color="auto" w:fill="FFFFFF"/>
        </w:rPr>
        <w:t>根据世界医学会《赫尔辛基宣言》（</w:t>
      </w:r>
      <w:r>
        <w:rPr>
          <w:rFonts w:cs="Calibri" w:asciiTheme="majorEastAsia" w:hAnsiTheme="majorEastAsia" w:eastAsiaTheme="majorEastAsia"/>
          <w:color w:val="000000"/>
          <w:kern w:val="0"/>
          <w:sz w:val="24"/>
          <w:szCs w:val="24"/>
          <w:shd w:val="clear" w:color="auto" w:fill="FFFFFF"/>
        </w:rPr>
        <w:t>2013</w:t>
      </w:r>
      <w:r>
        <w:rPr>
          <w:rFonts w:hint="eastAsia" w:cs="Arial" w:asciiTheme="majorEastAsia" w:hAnsiTheme="majorEastAsia" w:eastAsiaTheme="majorEastAsia"/>
          <w:color w:val="000000"/>
          <w:kern w:val="0"/>
          <w:sz w:val="24"/>
          <w:szCs w:val="24"/>
          <w:shd w:val="clear" w:color="auto" w:fill="FFFFFF"/>
        </w:rPr>
        <w:t>年）、国际医学科学组织理事会《涉及人的生物医学研究国际伦理准则》、国家食品药品监督管理局《药物临床试验伦理审查工作指导原则》（</w:t>
      </w:r>
      <w:r>
        <w:rPr>
          <w:rFonts w:cs="Calibri" w:asciiTheme="majorEastAsia" w:hAnsiTheme="majorEastAsia" w:eastAsiaTheme="majorEastAsia"/>
          <w:color w:val="000000"/>
          <w:kern w:val="0"/>
          <w:sz w:val="24"/>
          <w:szCs w:val="24"/>
          <w:shd w:val="clear" w:color="auto" w:fill="FFFFFF"/>
        </w:rPr>
        <w:t>2010</w:t>
      </w:r>
      <w:r>
        <w:rPr>
          <w:rFonts w:hint="eastAsia" w:cs="Arial" w:asciiTheme="majorEastAsia" w:hAnsiTheme="majorEastAsia" w:eastAsiaTheme="majorEastAsia"/>
          <w:color w:val="000000"/>
          <w:kern w:val="0"/>
          <w:sz w:val="24"/>
          <w:szCs w:val="24"/>
          <w:shd w:val="clear" w:color="auto" w:fill="FFFFFF"/>
        </w:rPr>
        <w:t>年）、</w:t>
      </w:r>
      <w:r>
        <w:rPr>
          <w:rFonts w:hint="eastAsia" w:cs="Arial" w:asciiTheme="majorEastAsia" w:hAnsiTheme="majorEastAsia" w:eastAsiaTheme="majorEastAsia"/>
          <w:color w:val="000000"/>
          <w:kern w:val="0"/>
          <w:sz w:val="24"/>
          <w:szCs w:val="24"/>
          <w:u w:val="none"/>
          <w:shd w:val="clear" w:color="auto" w:fill="FFFFFF"/>
        </w:rPr>
        <w:t>《医疗器械临床试验质量管理规范》（</w:t>
      </w:r>
      <w:r>
        <w:rPr>
          <w:rFonts w:cs="Calibri" w:asciiTheme="majorEastAsia" w:hAnsiTheme="majorEastAsia" w:eastAsiaTheme="majorEastAsia"/>
          <w:color w:val="000000"/>
          <w:kern w:val="0"/>
          <w:sz w:val="24"/>
          <w:szCs w:val="24"/>
          <w:u w:val="none"/>
          <w:shd w:val="clear" w:color="auto" w:fill="FFFFFF"/>
        </w:rPr>
        <w:t>20</w:t>
      </w:r>
      <w:r>
        <w:rPr>
          <w:rFonts w:hint="eastAsia" w:cs="Calibri" w:asciiTheme="majorEastAsia" w:hAnsiTheme="majorEastAsia" w:eastAsiaTheme="majorEastAsia"/>
          <w:color w:val="000000"/>
          <w:kern w:val="0"/>
          <w:sz w:val="24"/>
          <w:szCs w:val="24"/>
          <w:u w:val="none"/>
          <w:shd w:val="clear" w:color="auto" w:fill="FFFFFF"/>
          <w:lang w:val="en-US" w:eastAsia="zh-CN"/>
        </w:rPr>
        <w:t>22</w:t>
      </w:r>
      <w:r>
        <w:rPr>
          <w:rFonts w:hint="eastAsia" w:cs="Arial" w:asciiTheme="majorEastAsia" w:hAnsiTheme="majorEastAsia" w:eastAsiaTheme="majorEastAsia"/>
          <w:color w:val="000000"/>
          <w:kern w:val="0"/>
          <w:sz w:val="24"/>
          <w:szCs w:val="24"/>
          <w:u w:val="none"/>
          <w:shd w:val="clear" w:color="auto" w:fill="FFFFFF"/>
        </w:rPr>
        <w:t>年）、《药物临床试验质量管理规范》（</w:t>
      </w:r>
      <w:r>
        <w:rPr>
          <w:rFonts w:hint="eastAsia" w:cs="Calibri" w:asciiTheme="majorEastAsia" w:hAnsiTheme="majorEastAsia" w:eastAsiaTheme="majorEastAsia"/>
          <w:color w:val="000000"/>
          <w:kern w:val="0"/>
          <w:sz w:val="24"/>
          <w:szCs w:val="24"/>
          <w:u w:val="none"/>
          <w:shd w:val="clear" w:color="auto" w:fill="FFFFFF"/>
          <w:lang w:val="en-US" w:eastAsia="zh-CN"/>
        </w:rPr>
        <w:t>2020</w:t>
      </w:r>
      <w:r>
        <w:rPr>
          <w:rFonts w:hint="eastAsia" w:cs="Arial" w:asciiTheme="majorEastAsia" w:hAnsiTheme="majorEastAsia" w:eastAsiaTheme="majorEastAsia"/>
          <w:color w:val="000000"/>
          <w:kern w:val="0"/>
          <w:sz w:val="24"/>
          <w:szCs w:val="24"/>
          <w:u w:val="none"/>
          <w:shd w:val="clear" w:color="auto" w:fill="FFFFFF"/>
        </w:rPr>
        <w:t>）、</w:t>
      </w:r>
      <w:r>
        <w:rPr>
          <w:rFonts w:ascii="Helvetica" w:hAnsi="Helvetica" w:eastAsia="Helvetica" w:cs="Helvetica"/>
          <w:i w:val="0"/>
          <w:iCs w:val="0"/>
          <w:caps w:val="0"/>
          <w:color w:val="333333"/>
          <w:spacing w:val="0"/>
          <w:sz w:val="21"/>
          <w:szCs w:val="21"/>
          <w:u w:val="none"/>
          <w:shd w:val="clear" w:fill="FFFFFF"/>
        </w:rPr>
        <w:t>国家卫生健康委员会、教育部、科学技术部、国家中医药管理局《涉及人的生命科学和医学研究伦理审查办法》</w:t>
      </w:r>
      <w:r>
        <w:rPr>
          <w:rFonts w:hint="eastAsia" w:cs="Arial" w:asciiTheme="majorEastAsia" w:hAnsiTheme="majorEastAsia" w:eastAsiaTheme="majorEastAsia"/>
          <w:color w:val="000000"/>
          <w:kern w:val="0"/>
          <w:sz w:val="24"/>
          <w:szCs w:val="24"/>
          <w:u w:val="none"/>
          <w:shd w:val="clear" w:color="auto" w:fill="FFFFFF"/>
        </w:rPr>
        <w:t>（</w:t>
      </w:r>
      <w:r>
        <w:rPr>
          <w:rFonts w:hint="eastAsia" w:cs="Calibri" w:asciiTheme="majorEastAsia" w:hAnsiTheme="majorEastAsia" w:eastAsiaTheme="majorEastAsia"/>
          <w:color w:val="000000"/>
          <w:kern w:val="0"/>
          <w:sz w:val="24"/>
          <w:szCs w:val="24"/>
          <w:u w:val="none"/>
          <w:shd w:val="clear" w:color="auto" w:fill="FFFFFF"/>
          <w:lang w:val="en-US" w:eastAsia="zh-CN"/>
        </w:rPr>
        <w:t>2023</w:t>
      </w:r>
      <w:r>
        <w:rPr>
          <w:rFonts w:hint="eastAsia" w:cs="Arial" w:asciiTheme="majorEastAsia" w:hAnsiTheme="majorEastAsia" w:eastAsiaTheme="majorEastAsia"/>
          <w:color w:val="000000"/>
          <w:kern w:val="0"/>
          <w:sz w:val="24"/>
          <w:szCs w:val="24"/>
          <w:u w:val="none"/>
          <w:shd w:val="clear" w:color="auto" w:fill="FFFFFF"/>
        </w:rPr>
        <w:t>）</w:t>
      </w:r>
      <w:r>
        <w:rPr>
          <w:rFonts w:hint="eastAsia" w:cs="Arial" w:asciiTheme="majorEastAsia" w:hAnsiTheme="majorEastAsia" w:eastAsiaTheme="majorEastAsia"/>
          <w:color w:val="000000"/>
          <w:kern w:val="0"/>
          <w:sz w:val="24"/>
          <w:szCs w:val="24"/>
          <w:shd w:val="clear" w:color="auto" w:fill="FFFFFF"/>
        </w:rPr>
        <w:t>等相关法律法规和指南，同时结合我院实际工作需要制定本章程。</w:t>
      </w:r>
    </w:p>
    <w:p w14:paraId="6358B9A2">
      <w:pPr>
        <w:spacing w:line="360" w:lineRule="auto"/>
        <w:ind w:left="0" w:leftChars="0" w:firstLine="484" w:firstLineChars="202"/>
        <w:rPr>
          <w:sz w:val="24"/>
          <w:szCs w:val="24"/>
        </w:rPr>
      </w:pPr>
      <w:r>
        <w:rPr>
          <w:rFonts w:hint="eastAsia"/>
          <w:sz w:val="24"/>
          <w:szCs w:val="24"/>
        </w:rPr>
        <w:t xml:space="preserve">第二条 </w:t>
      </w:r>
      <w:r>
        <w:rPr>
          <w:rFonts w:hint="eastAsia" w:ascii="宋体" w:hAnsi="宋体" w:eastAsia="宋体" w:cs="Arial"/>
          <w:color w:val="000000"/>
          <w:kern w:val="0"/>
          <w:sz w:val="24"/>
          <w:szCs w:val="24"/>
          <w:shd w:val="clear" w:color="auto" w:fill="FFFFFF"/>
        </w:rPr>
        <w:t>医学伦理委员会宗旨：通过对涉及人的生物医学研究的科学性、伦理合理性进行审查，确保受试者尊严、权利、安全得到保护。目的是保证患者在医疗过程中的尊严和权益，为员工提供伦理服务的平台，探索有效解决临床医疗的伦理方法，促进医院伦理文化的建设</w:t>
      </w:r>
      <w:r>
        <w:rPr>
          <w:rFonts w:hint="eastAsia" w:ascii="宋体" w:hAnsi="宋体" w:eastAsia="宋体" w:cs="Arial"/>
          <w:color w:val="000000"/>
          <w:kern w:val="0"/>
          <w:sz w:val="27"/>
          <w:szCs w:val="27"/>
          <w:shd w:val="clear" w:color="auto" w:fill="FFFFFF"/>
        </w:rPr>
        <w:t>。</w:t>
      </w:r>
    </w:p>
    <w:p w14:paraId="034F658C">
      <w:pPr>
        <w:spacing w:line="360" w:lineRule="auto"/>
        <w:ind w:left="0" w:leftChars="0" w:firstLine="484" w:firstLineChars="202"/>
        <w:rPr>
          <w:rFonts w:ascii="宋体" w:hAnsi="宋体" w:eastAsia="宋体" w:cs="Arial"/>
          <w:color w:val="000000"/>
          <w:kern w:val="0"/>
          <w:sz w:val="24"/>
          <w:szCs w:val="24"/>
          <w:shd w:val="clear" w:color="auto" w:fill="FFFFFF"/>
        </w:rPr>
      </w:pPr>
      <w:r>
        <w:rPr>
          <w:rFonts w:hint="eastAsia"/>
          <w:sz w:val="24"/>
          <w:szCs w:val="24"/>
        </w:rPr>
        <w:t xml:space="preserve">第三条 </w:t>
      </w:r>
      <w:r>
        <w:rPr>
          <w:rFonts w:hint="eastAsia" w:ascii="宋体" w:hAnsi="宋体" w:eastAsia="宋体" w:cs="Arial"/>
          <w:color w:val="000000"/>
          <w:kern w:val="0"/>
          <w:sz w:val="24"/>
          <w:szCs w:val="24"/>
          <w:shd w:val="clear" w:color="auto" w:fill="FFFFFF"/>
        </w:rPr>
        <w:t>医学伦理委员会是医院临床伦理的管理和监督机构，负责制定医院伦理管理框架和制度，负责医院伦理工作的运行和实施，监督医院伦理工作的落实。</w:t>
      </w:r>
    </w:p>
    <w:p w14:paraId="41966B14">
      <w:pPr>
        <w:widowControl/>
        <w:shd w:val="clear" w:color="auto" w:fill="FFFFFF"/>
        <w:spacing w:line="360" w:lineRule="auto"/>
        <w:ind w:left="105" w:firstLine="549"/>
        <w:jc w:val="left"/>
        <w:rPr>
          <w:rFonts w:ascii="Arial" w:hAnsi="Arial" w:eastAsia="宋体" w:cs="Arial"/>
          <w:color w:val="000000"/>
          <w:kern w:val="0"/>
          <w:sz w:val="24"/>
          <w:szCs w:val="24"/>
        </w:rPr>
      </w:pPr>
      <w:r>
        <w:rPr>
          <w:rFonts w:hint="eastAsia" w:ascii="宋体" w:hAnsi="宋体" w:eastAsia="宋体" w:cs="Arial"/>
          <w:color w:val="000000"/>
          <w:kern w:val="0"/>
          <w:sz w:val="24"/>
          <w:szCs w:val="24"/>
          <w:shd w:val="clear" w:color="auto" w:fill="FFFFFF"/>
        </w:rPr>
        <w:t>第四条</w:t>
      </w:r>
      <w:r>
        <w:rPr>
          <w:rFonts w:ascii="Calibri" w:hAnsi="Calibri" w:eastAsia="宋体" w:cs="Calibri"/>
          <w:color w:val="000000"/>
          <w:kern w:val="0"/>
          <w:sz w:val="24"/>
          <w:szCs w:val="24"/>
          <w:shd w:val="clear" w:color="auto" w:fill="FFFFFF"/>
        </w:rPr>
        <w:t> </w:t>
      </w:r>
      <w:r>
        <w:rPr>
          <w:rFonts w:ascii="Calibri" w:hAnsi="Calibri" w:eastAsia="宋体" w:cs="Calibri"/>
          <w:color w:val="000000"/>
          <w:kern w:val="0"/>
          <w:sz w:val="24"/>
          <w:szCs w:val="24"/>
        </w:rPr>
        <w:t> </w:t>
      </w:r>
      <w:r>
        <w:rPr>
          <w:rFonts w:hint="eastAsia" w:ascii="宋体" w:hAnsi="宋体" w:eastAsia="宋体" w:cs="Arial"/>
          <w:color w:val="000000"/>
          <w:kern w:val="0"/>
          <w:sz w:val="24"/>
          <w:szCs w:val="24"/>
          <w:shd w:val="clear" w:color="auto" w:fill="FFFFFF"/>
        </w:rPr>
        <w:t>本伦理委员会业务范围：由武汉市第五医院承担并实施的涉及人体生物医学研究项目，包括：（一）药物临床试验；（二）医疗器械、诊断试剂临床试验；（三）人工辅助生殖技术；（四）涉及人的科研项目；（五）医疗新技术；（六）其他需要伦理审查的情况。</w:t>
      </w:r>
    </w:p>
    <w:p w14:paraId="3123CFA5">
      <w:pPr>
        <w:widowControl/>
        <w:shd w:val="clear" w:color="auto" w:fill="FFFFFF"/>
        <w:spacing w:line="360" w:lineRule="auto"/>
        <w:ind w:left="105" w:firstLine="549"/>
        <w:jc w:val="left"/>
        <w:rPr>
          <w:sz w:val="24"/>
          <w:szCs w:val="24"/>
        </w:rPr>
      </w:pPr>
      <w:r>
        <w:rPr>
          <w:rFonts w:hint="eastAsia" w:ascii="宋体" w:hAnsi="宋体" w:eastAsia="宋体" w:cs="Arial"/>
          <w:color w:val="000000"/>
          <w:kern w:val="0"/>
          <w:sz w:val="24"/>
          <w:szCs w:val="24"/>
          <w:shd w:val="clear" w:color="auto" w:fill="FFFFFF"/>
        </w:rPr>
        <w:t>第五条</w:t>
      </w:r>
      <w:r>
        <w:rPr>
          <w:rFonts w:ascii="Calibri" w:hAnsi="Calibri" w:eastAsia="宋体" w:cs="Calibri"/>
          <w:color w:val="000000"/>
          <w:kern w:val="0"/>
          <w:sz w:val="24"/>
          <w:szCs w:val="24"/>
          <w:shd w:val="clear" w:color="auto" w:fill="FFFFFF"/>
        </w:rPr>
        <w:t> </w:t>
      </w:r>
      <w:r>
        <w:rPr>
          <w:rFonts w:ascii="Calibri" w:hAnsi="Calibri" w:eastAsia="宋体" w:cs="Calibri"/>
          <w:color w:val="000000"/>
          <w:kern w:val="0"/>
          <w:sz w:val="24"/>
          <w:szCs w:val="24"/>
        </w:rPr>
        <w:t> </w:t>
      </w:r>
      <w:r>
        <w:rPr>
          <w:rFonts w:hint="eastAsia" w:ascii="宋体" w:hAnsi="宋体" w:eastAsia="宋体" w:cs="Arial"/>
          <w:color w:val="000000"/>
          <w:kern w:val="0"/>
          <w:sz w:val="24"/>
          <w:szCs w:val="24"/>
        </w:rPr>
        <w:t>涉及人的生物医学研究伦理审查应当符合以下伦理原则：知情同意原则、控制风险原则、免费和补偿原则、保护隐私原则、依法赔偿原则、特殊保护原则。</w:t>
      </w:r>
    </w:p>
    <w:p w14:paraId="373E4A5E">
      <w:pPr>
        <w:spacing w:line="360" w:lineRule="auto"/>
        <w:ind w:left="0" w:leftChars="0" w:firstLine="484" w:firstLineChars="202"/>
        <w:rPr>
          <w:sz w:val="24"/>
          <w:szCs w:val="24"/>
        </w:rPr>
      </w:pPr>
    </w:p>
    <w:p w14:paraId="15D32962">
      <w:pPr>
        <w:spacing w:line="360" w:lineRule="auto"/>
        <w:ind w:left="0" w:leftChars="0" w:firstLine="0"/>
        <w:jc w:val="center"/>
        <w:rPr>
          <w:rFonts w:ascii="黑体" w:hAnsi="黑体" w:eastAsia="黑体"/>
          <w:sz w:val="28"/>
          <w:szCs w:val="28"/>
        </w:rPr>
      </w:pPr>
      <w:r>
        <w:rPr>
          <w:rFonts w:hint="eastAsia" w:ascii="黑体" w:hAnsi="黑体" w:eastAsia="黑体"/>
          <w:sz w:val="28"/>
          <w:szCs w:val="28"/>
        </w:rPr>
        <w:t>第二章  组织</w:t>
      </w:r>
    </w:p>
    <w:p w14:paraId="32BEA762">
      <w:pPr>
        <w:spacing w:line="360" w:lineRule="auto"/>
        <w:ind w:left="0" w:leftChars="0" w:firstLine="484" w:firstLineChars="202"/>
        <w:rPr>
          <w:sz w:val="24"/>
          <w:szCs w:val="24"/>
        </w:rPr>
      </w:pPr>
      <w:r>
        <w:rPr>
          <w:rFonts w:hint="eastAsia"/>
          <w:sz w:val="24"/>
          <w:szCs w:val="24"/>
        </w:rPr>
        <w:t>第六条 伦理委员会名称：武汉市第五医院医学伦理委员会。</w:t>
      </w:r>
    </w:p>
    <w:p w14:paraId="67CDA256">
      <w:pPr>
        <w:spacing w:line="360" w:lineRule="auto"/>
        <w:ind w:left="0" w:leftChars="0" w:firstLine="1324" w:firstLineChars="552"/>
        <w:rPr>
          <w:sz w:val="24"/>
          <w:szCs w:val="24"/>
        </w:rPr>
      </w:pPr>
      <w:r>
        <w:rPr>
          <w:rFonts w:hint="eastAsia"/>
          <w:sz w:val="24"/>
          <w:szCs w:val="24"/>
        </w:rPr>
        <w:t>地址：武汉市汉阳区显正街122号，邮编：430050</w:t>
      </w:r>
    </w:p>
    <w:p w14:paraId="4B338932">
      <w:pPr>
        <w:spacing w:line="360" w:lineRule="auto"/>
        <w:ind w:left="0" w:leftChars="0" w:firstLine="484" w:firstLineChars="202"/>
        <w:rPr>
          <w:sz w:val="24"/>
          <w:szCs w:val="24"/>
        </w:rPr>
      </w:pPr>
      <w:r>
        <w:rPr>
          <w:rFonts w:hint="eastAsia"/>
          <w:sz w:val="24"/>
          <w:szCs w:val="24"/>
        </w:rPr>
        <w:t>第七条 组织架构：武汉市第五医院医学伦理委员会隶属武汉市第五医院。医院设置伦理委员会办公室。</w:t>
      </w:r>
      <w:r>
        <w:rPr>
          <w:rFonts w:hint="eastAsia" w:ascii="宋体" w:hAnsi="宋体" w:eastAsia="宋体" w:cs="Arial"/>
          <w:color w:val="000000"/>
          <w:kern w:val="0"/>
          <w:sz w:val="24"/>
          <w:szCs w:val="24"/>
          <w:shd w:val="clear" w:color="auto" w:fill="FFFFFF"/>
        </w:rPr>
        <w:t>医院院务办公会负责伦理委员会委员的任免事项，并在国家、省食品药品监督管理部门和卫生行政主管部门备案。</w:t>
      </w:r>
    </w:p>
    <w:p w14:paraId="67EE65C3">
      <w:pPr>
        <w:spacing w:line="360" w:lineRule="auto"/>
        <w:ind w:left="0" w:leftChars="0" w:firstLine="484" w:firstLineChars="202"/>
        <w:rPr>
          <w:sz w:val="24"/>
          <w:szCs w:val="24"/>
        </w:rPr>
      </w:pPr>
      <w:r>
        <w:rPr>
          <w:rFonts w:hint="eastAsia"/>
          <w:sz w:val="24"/>
          <w:szCs w:val="24"/>
        </w:rPr>
        <w:t>第八条 权利：伦理委员会的运行必须独立于申办者、研究者，并避免任何不适当影响。伦理委员会有权批准/不批准一项临床研究，对批准的临床研究进行跟踪审查，终止或暂停已经批准的临床研究。</w:t>
      </w:r>
    </w:p>
    <w:p w14:paraId="60C1C38E">
      <w:pPr>
        <w:spacing w:line="360" w:lineRule="auto"/>
        <w:ind w:left="0" w:leftChars="0" w:firstLine="484" w:firstLineChars="202"/>
        <w:rPr>
          <w:sz w:val="24"/>
          <w:szCs w:val="24"/>
        </w:rPr>
      </w:pPr>
      <w:r>
        <w:rPr>
          <w:rFonts w:hint="eastAsia"/>
          <w:sz w:val="24"/>
          <w:szCs w:val="24"/>
        </w:rPr>
        <w:t>第九条 行政资源：医院为伦理委员会提供独立的办公室，必要的办公条件，有可利用的档案室和会议室，以满足其职能的需求。医院任命伦理委员会办公室主任及秘书以满足伦理委员会工作的需求。医院为委员、独立顾问、办公室工作人员提供充分的培训，使其能够胜任工作。</w:t>
      </w:r>
    </w:p>
    <w:p w14:paraId="440E8325">
      <w:pPr>
        <w:spacing w:line="360" w:lineRule="auto"/>
        <w:ind w:left="0" w:leftChars="0" w:firstLine="484" w:firstLineChars="202"/>
        <w:rPr>
          <w:sz w:val="24"/>
          <w:szCs w:val="24"/>
        </w:rPr>
      </w:pPr>
      <w:r>
        <w:rPr>
          <w:rFonts w:hint="eastAsia"/>
          <w:sz w:val="24"/>
          <w:szCs w:val="24"/>
        </w:rPr>
        <w:t>第十条 财政资源：伦理委员会的行政经费列入医院财政预算。经费使用按照医院财务管理规定执行，可应要求公开支付给委员的劳务补偿。</w:t>
      </w:r>
    </w:p>
    <w:p w14:paraId="7E9B10AE">
      <w:pPr>
        <w:spacing w:line="360" w:lineRule="auto"/>
        <w:ind w:left="0" w:leftChars="0" w:firstLine="484" w:firstLineChars="202"/>
        <w:rPr>
          <w:sz w:val="24"/>
          <w:szCs w:val="24"/>
        </w:rPr>
      </w:pPr>
    </w:p>
    <w:p w14:paraId="05729323">
      <w:pPr>
        <w:spacing w:line="360" w:lineRule="auto"/>
        <w:ind w:left="0" w:leftChars="0" w:firstLine="0"/>
        <w:jc w:val="center"/>
        <w:rPr>
          <w:rFonts w:ascii="黑体" w:hAnsi="黑体" w:eastAsia="黑体"/>
          <w:sz w:val="28"/>
          <w:szCs w:val="28"/>
        </w:rPr>
      </w:pPr>
      <w:r>
        <w:rPr>
          <w:rFonts w:hint="eastAsia" w:ascii="黑体" w:hAnsi="黑体" w:eastAsia="黑体"/>
          <w:sz w:val="28"/>
          <w:szCs w:val="28"/>
        </w:rPr>
        <w:t>第三章  组建与换届</w:t>
      </w:r>
    </w:p>
    <w:p w14:paraId="77550A25">
      <w:pPr>
        <w:spacing w:line="360" w:lineRule="auto"/>
        <w:ind w:left="0" w:leftChars="0" w:firstLine="484" w:firstLineChars="202"/>
        <w:rPr>
          <w:sz w:val="24"/>
          <w:szCs w:val="24"/>
        </w:rPr>
      </w:pPr>
      <w:r>
        <w:rPr>
          <w:rFonts w:hint="eastAsia"/>
          <w:sz w:val="24"/>
          <w:szCs w:val="24"/>
        </w:rPr>
        <w:t>第十一条 委员组成：伦理委员会的委员类别包括医药专业、非医药专业、与研究项目的组织者和研究机构不存在行政隶属关系的外单位人员、法律专家，并有不同性别的委员。临床研究机构主任不兼任伦理委员会委员。</w:t>
      </w:r>
    </w:p>
    <w:p w14:paraId="1297BEDE">
      <w:pPr>
        <w:spacing w:line="360" w:lineRule="auto"/>
        <w:ind w:left="0" w:leftChars="0" w:firstLine="484" w:firstLineChars="202"/>
        <w:rPr>
          <w:sz w:val="24"/>
          <w:szCs w:val="24"/>
        </w:rPr>
      </w:pPr>
      <w:r>
        <w:rPr>
          <w:sz w:val="24"/>
          <w:szCs w:val="24"/>
        </w:rPr>
        <w:t>第十二条</w:t>
      </w:r>
      <w:r>
        <w:rPr>
          <w:rFonts w:hint="eastAsia"/>
          <w:sz w:val="24"/>
          <w:szCs w:val="24"/>
        </w:rPr>
        <w:t xml:space="preserve"> 委员的招募和推荐：伦理委员会采用公开招募的方式，结合有关各方的推荐并征询本人意见，形成委员候选人名单。应聘者应能保证参加培训，保证有足够的时间和精力参加审查工作。</w:t>
      </w:r>
    </w:p>
    <w:p w14:paraId="5923F602">
      <w:pPr>
        <w:spacing w:line="360" w:lineRule="auto"/>
        <w:ind w:left="0" w:leftChars="0" w:firstLine="484" w:firstLineChars="202"/>
        <w:rPr>
          <w:sz w:val="24"/>
          <w:szCs w:val="24"/>
        </w:rPr>
      </w:pPr>
      <w:r>
        <w:rPr>
          <w:rFonts w:hint="eastAsia"/>
          <w:sz w:val="24"/>
          <w:szCs w:val="24"/>
        </w:rPr>
        <w:t>第十三条 任命的机构与程序：医院办公会负责伦理委员会委员的任命事项。伦理委员会委员候选人员名单提交医院办公会审查讨论，当选委员的同意票应超过法定人数的半数。如果医院办公会组成人员是候选人员，应从讨论决定程序中退出。伦理委员会组成人员以医院正式文件的方式任命。</w:t>
      </w:r>
    </w:p>
    <w:p w14:paraId="01E4A7E6">
      <w:pPr>
        <w:spacing w:line="360" w:lineRule="auto"/>
        <w:ind w:left="0" w:leftChars="0" w:firstLine="484" w:firstLineChars="202"/>
        <w:rPr>
          <w:sz w:val="24"/>
          <w:szCs w:val="24"/>
        </w:rPr>
      </w:pPr>
      <w:r>
        <w:rPr>
          <w:rFonts w:hint="eastAsia"/>
          <w:sz w:val="24"/>
          <w:szCs w:val="24"/>
        </w:rPr>
        <w:t>接受任命的委员应参加GCP、研究伦理审查以及临床研究方法学方面的初始培训和继续教育；提交本人简历、资质证明文件，GCP与伦理审查培训证书；同意并签署利益冲突声明、保密承诺，并同意公开自己的姓名、职业和隶属机构，同意公开与参加伦理审查工作相关的交通、劳务等补偿。</w:t>
      </w:r>
    </w:p>
    <w:p w14:paraId="6DB5887A">
      <w:pPr>
        <w:spacing w:line="360" w:lineRule="auto"/>
        <w:ind w:left="0" w:leftChars="0" w:firstLine="484" w:firstLineChars="202"/>
        <w:rPr>
          <w:sz w:val="24"/>
          <w:szCs w:val="24"/>
        </w:rPr>
      </w:pPr>
      <w:r>
        <w:rPr>
          <w:rFonts w:hint="eastAsia"/>
          <w:sz w:val="24"/>
          <w:szCs w:val="24"/>
        </w:rPr>
        <w:t>第十四条 主任委员：伦理委员会设主任委员1名，</w:t>
      </w:r>
      <w:r>
        <w:rPr>
          <w:rFonts w:hint="eastAsia"/>
          <w:sz w:val="24"/>
          <w:szCs w:val="24"/>
          <w:highlight w:val="none"/>
          <w:u w:val="none"/>
        </w:rPr>
        <w:t>副主任委员</w:t>
      </w:r>
      <w:r>
        <w:rPr>
          <w:rFonts w:hint="eastAsia"/>
          <w:sz w:val="24"/>
          <w:szCs w:val="24"/>
          <w:highlight w:val="none"/>
          <w:u w:val="none"/>
          <w:lang w:val="en-US" w:eastAsia="zh-CN"/>
        </w:rPr>
        <w:t>2</w:t>
      </w:r>
      <w:r>
        <w:rPr>
          <w:rFonts w:hint="eastAsia"/>
          <w:sz w:val="24"/>
          <w:szCs w:val="24"/>
          <w:highlight w:val="none"/>
          <w:u w:val="none"/>
        </w:rPr>
        <w:t>名</w:t>
      </w:r>
      <w:r>
        <w:rPr>
          <w:rFonts w:hint="eastAsia"/>
          <w:sz w:val="24"/>
          <w:szCs w:val="24"/>
          <w:highlight w:val="none"/>
          <w:u w:val="none"/>
        </w:rPr>
        <w:t>。</w:t>
      </w:r>
      <w:r>
        <w:rPr>
          <w:rFonts w:hint="eastAsia"/>
          <w:sz w:val="24"/>
          <w:szCs w:val="24"/>
        </w:rPr>
        <w:t>主任委员和副主任委员由委员选举产生，并经医院办公会任命。主任委员负责主持审查会议，审签会议记录，审签决定文件。主任委员与其他委员之间不是管理与被管理的关系。主任委员因故不能履行职责时，可以委托副主任委员履行全部或部分职责。</w:t>
      </w:r>
    </w:p>
    <w:p w14:paraId="2C0B74D4">
      <w:pPr>
        <w:spacing w:line="360" w:lineRule="auto"/>
        <w:ind w:left="0" w:leftChars="0" w:firstLine="484" w:firstLineChars="202"/>
        <w:rPr>
          <w:sz w:val="24"/>
          <w:szCs w:val="24"/>
        </w:rPr>
      </w:pPr>
      <w:r>
        <w:rPr>
          <w:rFonts w:hint="eastAsia"/>
          <w:sz w:val="24"/>
          <w:szCs w:val="24"/>
        </w:rPr>
        <w:t>第十五条 任期：伦理委员会每届任期5年。</w:t>
      </w:r>
    </w:p>
    <w:p w14:paraId="583C8000">
      <w:pPr>
        <w:spacing w:line="360" w:lineRule="auto"/>
        <w:ind w:left="0" w:leftChars="0" w:firstLine="484" w:firstLineChars="202"/>
        <w:rPr>
          <w:sz w:val="24"/>
          <w:szCs w:val="24"/>
        </w:rPr>
      </w:pPr>
      <w:r>
        <w:rPr>
          <w:rFonts w:hint="eastAsia"/>
          <w:sz w:val="24"/>
          <w:szCs w:val="24"/>
        </w:rPr>
        <w:t>第十六条 换届：委员换届应考虑审查能力的发展以及委员的专业类别。应有部分委员留任，以保证伦理委员会工作的连续性。换届候选委员采用公开招募、有关各方和委员推荐的方式产生，医院办公会任命。</w:t>
      </w:r>
    </w:p>
    <w:p w14:paraId="6C9FAAE2">
      <w:pPr>
        <w:spacing w:line="360" w:lineRule="auto"/>
        <w:ind w:left="0" w:leftChars="0" w:firstLine="484" w:firstLineChars="202"/>
        <w:rPr>
          <w:sz w:val="24"/>
          <w:szCs w:val="24"/>
        </w:rPr>
      </w:pPr>
      <w:r>
        <w:rPr>
          <w:rFonts w:hint="eastAsia"/>
          <w:sz w:val="24"/>
          <w:szCs w:val="24"/>
        </w:rPr>
        <w:t>第十七条 免职：以下情况可以免去委员资格：本人书面申请辞去委员职务者；因各种原因缺席半数以上伦理审查会议者；因健康或工作调离等原因，不能继续履行委员职责者；因道德行为规范与委员职责相违背（如与审查项目存在利益冲突而不主动声明），不适宜继续担任委员者。</w:t>
      </w:r>
    </w:p>
    <w:p w14:paraId="0A5174D0">
      <w:pPr>
        <w:spacing w:line="360" w:lineRule="auto"/>
        <w:ind w:left="0" w:leftChars="0" w:firstLine="484" w:firstLineChars="202"/>
        <w:rPr>
          <w:sz w:val="24"/>
          <w:szCs w:val="24"/>
        </w:rPr>
      </w:pPr>
      <w:r>
        <w:rPr>
          <w:rFonts w:hint="eastAsia"/>
          <w:sz w:val="24"/>
          <w:szCs w:val="24"/>
        </w:rPr>
        <w:t>免职程序：免职由医院办公会讨论决定，同意免职的票数应超过法定人数的半数。免职决定以医院正式文件的方式公布。</w:t>
      </w:r>
    </w:p>
    <w:p w14:paraId="52EF0088">
      <w:pPr>
        <w:spacing w:line="360" w:lineRule="auto"/>
        <w:ind w:left="0" w:leftChars="0" w:firstLine="484" w:firstLineChars="202"/>
        <w:rPr>
          <w:sz w:val="24"/>
          <w:szCs w:val="24"/>
        </w:rPr>
      </w:pPr>
      <w:r>
        <w:rPr>
          <w:rFonts w:hint="eastAsia"/>
          <w:sz w:val="24"/>
          <w:szCs w:val="24"/>
        </w:rPr>
        <w:t>第十八条 替换：因委员辞职或免职，可以启动委员替换程序。根据资质、专业相当的原则招募或推荐候选替补委员替补；委员由医院办公会讨论决定，同意票应超过法定人数的半数。当选的替补委员以医院正式文件的方式公布。</w:t>
      </w:r>
    </w:p>
    <w:p w14:paraId="4FBFEEB0">
      <w:pPr>
        <w:spacing w:line="360" w:lineRule="auto"/>
        <w:ind w:left="0" w:leftChars="0" w:firstLine="484" w:firstLineChars="202"/>
        <w:rPr>
          <w:sz w:val="24"/>
          <w:szCs w:val="24"/>
        </w:rPr>
      </w:pPr>
      <w:r>
        <w:rPr>
          <w:rFonts w:hint="eastAsia"/>
          <w:sz w:val="24"/>
          <w:szCs w:val="24"/>
        </w:rPr>
        <w:t>第十九条 独立顾问：如果委员专业知识不能胜任某项临床研究的审查，或某项临床研究的受试者与委员的社会与文化背景明显不同时，可以聘请独立顾问。独立顾问应提交本人简历、资质证明文件，签署保密承诺与利益冲突声明。独立顾问应邀对临床研究项目的某方面问题提供咨询意见，但不具有表决权。</w:t>
      </w:r>
    </w:p>
    <w:p w14:paraId="3D27D509">
      <w:pPr>
        <w:spacing w:line="360" w:lineRule="auto"/>
        <w:ind w:left="0" w:leftChars="0" w:firstLine="484" w:firstLineChars="202"/>
        <w:rPr>
          <w:sz w:val="24"/>
          <w:szCs w:val="24"/>
        </w:rPr>
      </w:pPr>
      <w:r>
        <w:rPr>
          <w:rFonts w:hint="eastAsia"/>
          <w:sz w:val="24"/>
          <w:szCs w:val="24"/>
        </w:rPr>
        <w:t>第二十条 伦理委员会主任和办公室人员：伦理委员会设（行政）主任1名，负责伦理委员会和办公室的行政管理工作，并可兼任伦理委员会委员，承担项目审查职责；</w:t>
      </w:r>
      <w:r>
        <w:rPr>
          <w:rFonts w:hint="eastAsia"/>
          <w:sz w:val="24"/>
          <w:szCs w:val="24"/>
          <w:highlight w:val="none"/>
          <w:u w:val="none"/>
        </w:rPr>
        <w:t>办公室设兼职秘书</w:t>
      </w:r>
      <w:r>
        <w:rPr>
          <w:rFonts w:hint="eastAsia"/>
          <w:sz w:val="24"/>
          <w:szCs w:val="24"/>
          <w:highlight w:val="none"/>
          <w:u w:val="none"/>
          <w:lang w:val="en-US" w:eastAsia="zh-CN"/>
        </w:rPr>
        <w:t>1-</w:t>
      </w:r>
      <w:r>
        <w:rPr>
          <w:rFonts w:hint="eastAsia"/>
          <w:sz w:val="24"/>
          <w:szCs w:val="24"/>
          <w:highlight w:val="none"/>
          <w:u w:val="none"/>
        </w:rPr>
        <w:t>2名，</w:t>
      </w:r>
      <w:r>
        <w:rPr>
          <w:rFonts w:hint="eastAsia"/>
          <w:sz w:val="24"/>
          <w:szCs w:val="24"/>
        </w:rPr>
        <w:t>伦理委员会主任和秘书由医院办公会任命。</w:t>
      </w:r>
    </w:p>
    <w:p w14:paraId="21F3B7D7">
      <w:pPr>
        <w:spacing w:line="360" w:lineRule="auto"/>
        <w:ind w:left="0" w:leftChars="0" w:firstLine="484" w:firstLineChars="202"/>
        <w:rPr>
          <w:sz w:val="24"/>
          <w:szCs w:val="24"/>
        </w:rPr>
      </w:pPr>
    </w:p>
    <w:p w14:paraId="4CFCF448">
      <w:pPr>
        <w:spacing w:line="360" w:lineRule="auto"/>
        <w:ind w:left="0" w:leftChars="0" w:firstLine="0"/>
        <w:jc w:val="center"/>
        <w:rPr>
          <w:rFonts w:ascii="黑体" w:hAnsi="黑体" w:eastAsia="黑体"/>
          <w:sz w:val="28"/>
          <w:szCs w:val="28"/>
        </w:rPr>
      </w:pPr>
      <w:r>
        <w:rPr>
          <w:rFonts w:hint="eastAsia" w:ascii="黑体" w:hAnsi="黑体" w:eastAsia="黑体"/>
          <w:sz w:val="28"/>
          <w:szCs w:val="28"/>
        </w:rPr>
        <w:t>第四章  运作</w:t>
      </w:r>
    </w:p>
    <w:p w14:paraId="75E7C91B">
      <w:pPr>
        <w:spacing w:line="360" w:lineRule="auto"/>
        <w:ind w:left="0" w:leftChars="0" w:firstLine="484" w:firstLineChars="202"/>
        <w:rPr>
          <w:sz w:val="24"/>
          <w:szCs w:val="24"/>
        </w:rPr>
      </w:pPr>
      <w:r>
        <w:rPr>
          <w:rFonts w:hint="eastAsia"/>
          <w:sz w:val="24"/>
          <w:szCs w:val="24"/>
        </w:rPr>
        <w:t>第二十一条 审查方式：伦理委员会的审查方式有会议审查、紧急会议审查、快速审查。实行主审制，为每个审查项目安排主审委员，填写审查工作表。会议审查是伦理委员会主要的审查工作方式，审查会议定期召开。委员在会前预审送审项目。研究过程中出现重大或严重问题，危及受试者安全，应召开紧急会议审查。快速审查是会议审查的补充形式，目的是为了提高工作效率，主要适用于不大于最小风险的研究项目；临床研究方案的较小修正，不影响研究风险受益比；尚未纳入受试者或已完成干预措施的研究项目；预期严重不良事件审查。</w:t>
      </w:r>
    </w:p>
    <w:p w14:paraId="37FDA892">
      <w:pPr>
        <w:spacing w:line="360" w:lineRule="auto"/>
        <w:ind w:left="0" w:leftChars="0" w:firstLine="484" w:firstLineChars="202"/>
        <w:rPr>
          <w:sz w:val="24"/>
          <w:szCs w:val="24"/>
        </w:rPr>
      </w:pPr>
      <w:r>
        <w:rPr>
          <w:rFonts w:hint="eastAsia"/>
          <w:sz w:val="24"/>
          <w:szCs w:val="24"/>
        </w:rPr>
        <w:t>第二十二条 法定人数：到会委员人数应超过半数成员，并不少于7人；到会委员应包括医药专业、非医药专业、独立于研究实施机构之外的委员，并有不同性别的委员。</w:t>
      </w:r>
    </w:p>
    <w:p w14:paraId="10F36556">
      <w:pPr>
        <w:spacing w:line="360" w:lineRule="auto"/>
        <w:ind w:left="0" w:leftChars="0" w:firstLine="484" w:firstLineChars="202"/>
        <w:rPr>
          <w:sz w:val="24"/>
          <w:szCs w:val="24"/>
        </w:rPr>
      </w:pPr>
      <w:r>
        <w:rPr>
          <w:rFonts w:hint="eastAsia"/>
          <w:sz w:val="24"/>
          <w:szCs w:val="24"/>
        </w:rPr>
        <w:t>第二十三条 审查决定：送审文件齐全，申请人、独立顾问以及与研究项目存在利益冲突的委员离场，投票委员符合法定人数，按审查要素和审查要点进行充分的审查讨论后，以投票的方式作出决定；没有参与会议讨论的委员不能投票。临床研究伦理审查以超过投票委员半数票的意见作为审查决定；医疗技术临床应用伦理审查以超过投票委员2/3票的意见作为审查决定。会后10个工作日内传达审查决定或意见。研究者或研究利益相关方对伦理委员会的审查决定有不同意见，可以提交复审。</w:t>
      </w:r>
    </w:p>
    <w:p w14:paraId="2B9BB634">
      <w:pPr>
        <w:spacing w:line="360" w:lineRule="auto"/>
        <w:ind w:left="0" w:leftChars="0" w:firstLine="484" w:firstLineChars="202"/>
        <w:rPr>
          <w:sz w:val="24"/>
          <w:szCs w:val="24"/>
        </w:rPr>
      </w:pPr>
      <w:r>
        <w:rPr>
          <w:rFonts w:hint="eastAsia"/>
          <w:sz w:val="24"/>
          <w:szCs w:val="24"/>
        </w:rPr>
        <w:t>第二十四条 利益冲突管理：遵循利益冲突政策，与研究项目存在利益冲突的委员/独立顾问应主动声明并退出该项目审查的讨论和决定程序。伦理委员会应审查研究人员与研究项目之间的利益冲突，必要时采取限制性措施。</w:t>
      </w:r>
    </w:p>
    <w:p w14:paraId="08D2E16F">
      <w:pPr>
        <w:spacing w:line="360" w:lineRule="auto"/>
        <w:ind w:left="0" w:leftChars="0" w:firstLine="484" w:firstLineChars="202"/>
        <w:rPr>
          <w:sz w:val="24"/>
          <w:szCs w:val="24"/>
        </w:rPr>
      </w:pPr>
      <w:r>
        <w:rPr>
          <w:rFonts w:hint="eastAsia"/>
          <w:sz w:val="24"/>
          <w:szCs w:val="24"/>
        </w:rPr>
        <w:t>第二十五条 保密：伦理委员会委员/独立顾问对送审项目的文件负有保密责任和义务，审查完成后，及时交回送审文件与审查材料，不得私自复制与外传。</w:t>
      </w:r>
    </w:p>
    <w:p w14:paraId="439A84A5">
      <w:pPr>
        <w:spacing w:line="360" w:lineRule="auto"/>
        <w:ind w:left="0" w:leftChars="0" w:firstLine="484" w:firstLineChars="202"/>
        <w:rPr>
          <w:sz w:val="24"/>
          <w:szCs w:val="24"/>
        </w:rPr>
      </w:pPr>
      <w:r>
        <w:rPr>
          <w:rFonts w:hint="eastAsia"/>
          <w:sz w:val="24"/>
          <w:szCs w:val="24"/>
        </w:rPr>
        <w:t>第二十六条 协作：医院所有与受试者保护的相关部门应协同伦理委员会工作，明确各自在伦理审查和研究监管中的职责，保证本医院承担的以及在本医院内实施的所有涉及人的生物医学研究项目都提交伦理审查，受试者的健康和权益得到保护；保证开展研究中所涉及的组织机构利益冲突、委员和研究人员的个人利益冲突得到最大限度的减少或消除；有效的报告和处理违背法规与方案的情况；建立与受试者、研究者或研究利益相关方有效的沟通渠道，对其所关心的问题和诉求作出回应。</w:t>
      </w:r>
    </w:p>
    <w:p w14:paraId="44E50887">
      <w:pPr>
        <w:spacing w:line="360" w:lineRule="auto"/>
        <w:ind w:left="0" w:leftChars="0" w:firstLine="484" w:firstLineChars="202"/>
        <w:rPr>
          <w:sz w:val="24"/>
          <w:szCs w:val="24"/>
        </w:rPr>
      </w:pPr>
      <w:r>
        <w:rPr>
          <w:rFonts w:hint="eastAsia"/>
          <w:sz w:val="24"/>
          <w:szCs w:val="24"/>
        </w:rPr>
        <w:t>第二十七条 质量管理：伦理委员会接受医院质量管理部门对工作质量的检查评估；接受卫生行政部门、药品监督管理部门的监督管理；接受独立的、外部的质量评估或认证。伦理委员会对检查发现的问题采取相应的改进措施。</w:t>
      </w:r>
    </w:p>
    <w:p w14:paraId="1FB64E55">
      <w:pPr>
        <w:spacing w:line="360" w:lineRule="auto"/>
        <w:ind w:left="0" w:leftChars="0" w:firstLine="484" w:firstLineChars="202"/>
        <w:rPr>
          <w:sz w:val="24"/>
          <w:szCs w:val="24"/>
        </w:rPr>
      </w:pPr>
      <w:r>
        <w:rPr>
          <w:rFonts w:hint="eastAsia"/>
          <w:sz w:val="24"/>
          <w:szCs w:val="24"/>
        </w:rPr>
        <w:t>第二十八条 监督管理：伦理委员会向医院、政府食品药品监督管理部门报告年度伦理审查工作情况。医院质量管理部门负责受理对伦理委员会决定的申诉或其他诉求。对伦理委员会违反法规的“同意”决定，医院办公会可邀请伦理委员会重审，或中止所批准的研究项目。</w:t>
      </w:r>
    </w:p>
    <w:p w14:paraId="674F0D0A">
      <w:pPr>
        <w:spacing w:line="360" w:lineRule="auto"/>
        <w:ind w:left="0" w:leftChars="0" w:firstLine="484" w:firstLineChars="202"/>
        <w:rPr>
          <w:sz w:val="24"/>
          <w:szCs w:val="24"/>
        </w:rPr>
      </w:pPr>
    </w:p>
    <w:p w14:paraId="3C32B938">
      <w:pPr>
        <w:spacing w:line="360" w:lineRule="auto"/>
        <w:ind w:left="0" w:leftChars="0" w:firstLine="487" w:firstLineChars="202"/>
        <w:jc w:val="center"/>
        <w:rPr>
          <w:rFonts w:cs="Arial" w:asciiTheme="majorEastAsia" w:hAnsiTheme="majorEastAsia" w:eastAsiaTheme="majorEastAsia"/>
          <w:color w:val="000000"/>
          <w:kern w:val="0"/>
          <w:sz w:val="24"/>
          <w:szCs w:val="24"/>
        </w:rPr>
      </w:pPr>
      <w:r>
        <w:rPr>
          <w:rFonts w:hint="eastAsia" w:cs="Arial" w:asciiTheme="majorEastAsia" w:hAnsiTheme="majorEastAsia" w:eastAsiaTheme="majorEastAsia"/>
          <w:b/>
          <w:bCs/>
          <w:color w:val="000000"/>
          <w:kern w:val="0"/>
          <w:sz w:val="24"/>
          <w:szCs w:val="24"/>
        </w:rPr>
        <w:t>第五章</w:t>
      </w:r>
      <w:r>
        <w:rPr>
          <w:rFonts w:cs="Calibri" w:asciiTheme="majorEastAsia" w:hAnsiTheme="majorEastAsia" w:eastAsiaTheme="majorEastAsia"/>
          <w:b/>
          <w:bCs/>
          <w:color w:val="000000"/>
          <w:kern w:val="0"/>
          <w:sz w:val="24"/>
          <w:szCs w:val="24"/>
        </w:rPr>
        <w:t>  </w:t>
      </w:r>
      <w:r>
        <w:rPr>
          <w:rFonts w:hint="eastAsia" w:cs="Arial" w:asciiTheme="majorEastAsia" w:hAnsiTheme="majorEastAsia" w:eastAsiaTheme="majorEastAsia"/>
          <w:b/>
          <w:bCs/>
          <w:color w:val="000000"/>
          <w:kern w:val="0"/>
          <w:sz w:val="24"/>
          <w:szCs w:val="24"/>
        </w:rPr>
        <w:t>文件存档与管理</w:t>
      </w:r>
    </w:p>
    <w:p w14:paraId="0A3E0B37">
      <w:pPr>
        <w:widowControl/>
        <w:shd w:val="clear" w:color="auto" w:fill="FFFFFF"/>
        <w:spacing w:line="463" w:lineRule="atLeast"/>
        <w:ind w:left="105" w:firstLine="514"/>
        <w:jc w:val="left"/>
        <w:rPr>
          <w:rFonts w:cs="Arial" w:asciiTheme="majorEastAsia" w:hAnsiTheme="majorEastAsia" w:eastAsiaTheme="majorEastAsia"/>
          <w:color w:val="000000"/>
          <w:kern w:val="0"/>
          <w:sz w:val="24"/>
          <w:szCs w:val="24"/>
        </w:rPr>
      </w:pPr>
      <w:r>
        <w:rPr>
          <w:rFonts w:hint="eastAsia" w:cs="Arial" w:asciiTheme="majorEastAsia" w:hAnsiTheme="majorEastAsia" w:eastAsiaTheme="majorEastAsia"/>
          <w:color w:val="000000"/>
          <w:kern w:val="0"/>
          <w:sz w:val="24"/>
          <w:szCs w:val="24"/>
        </w:rPr>
        <w:t>第二十九条 伦理委员会应有独立的档案文件管理制度。伦理委员会建档存档的文件包括管理文件和项目审查文件。</w:t>
      </w:r>
    </w:p>
    <w:p w14:paraId="7E62DC7A">
      <w:pPr>
        <w:widowControl/>
        <w:shd w:val="clear" w:color="auto" w:fill="FFFFFF"/>
        <w:spacing w:line="463" w:lineRule="atLeast"/>
        <w:ind w:left="105" w:firstLine="514"/>
        <w:jc w:val="left"/>
        <w:rPr>
          <w:rFonts w:cs="Arial" w:asciiTheme="majorEastAsia" w:hAnsiTheme="majorEastAsia" w:eastAsiaTheme="majorEastAsia"/>
          <w:color w:val="000000"/>
          <w:kern w:val="0"/>
          <w:sz w:val="24"/>
          <w:szCs w:val="24"/>
        </w:rPr>
      </w:pPr>
      <w:r>
        <w:rPr>
          <w:rFonts w:hint="eastAsia" w:cs="Arial" w:asciiTheme="majorEastAsia" w:hAnsiTheme="majorEastAsia" w:eastAsiaTheme="majorEastAsia"/>
          <w:color w:val="000000"/>
          <w:kern w:val="0"/>
          <w:sz w:val="24"/>
          <w:szCs w:val="24"/>
        </w:rPr>
        <w:t>第三十条 伦理审查文件应妥善保管至临床试验结束后五年，或根据相关要求延长保存期限。</w:t>
      </w:r>
    </w:p>
    <w:p w14:paraId="191FDFDA">
      <w:pPr>
        <w:widowControl/>
        <w:shd w:val="clear" w:color="auto" w:fill="FFFFFF"/>
        <w:spacing w:line="463" w:lineRule="atLeast"/>
        <w:ind w:left="105" w:firstLine="514"/>
        <w:jc w:val="left"/>
        <w:rPr>
          <w:rFonts w:cs="Arial" w:asciiTheme="majorEastAsia" w:hAnsiTheme="majorEastAsia" w:eastAsiaTheme="majorEastAsia"/>
          <w:color w:val="000000"/>
          <w:kern w:val="0"/>
          <w:sz w:val="24"/>
          <w:szCs w:val="24"/>
        </w:rPr>
      </w:pPr>
      <w:r>
        <w:rPr>
          <w:rFonts w:hint="eastAsia" w:cs="Arial" w:asciiTheme="majorEastAsia" w:hAnsiTheme="majorEastAsia" w:eastAsiaTheme="majorEastAsia"/>
          <w:color w:val="000000"/>
          <w:kern w:val="0"/>
          <w:sz w:val="24"/>
          <w:szCs w:val="24"/>
        </w:rPr>
        <w:t>第三十一条 伦理委员会应对文件的查阅、复印及销毁作出相关规定，以保证文件档案的安全和保密性。</w:t>
      </w:r>
    </w:p>
    <w:p w14:paraId="1C30B13A">
      <w:pPr>
        <w:widowControl/>
        <w:shd w:val="clear" w:color="auto" w:fill="FFFFFF"/>
        <w:spacing w:line="463" w:lineRule="atLeast"/>
        <w:ind w:left="105" w:firstLine="514"/>
        <w:jc w:val="left"/>
        <w:rPr>
          <w:rFonts w:cs="Arial" w:asciiTheme="majorEastAsia" w:hAnsiTheme="majorEastAsia" w:eastAsiaTheme="majorEastAsia"/>
          <w:color w:val="000000"/>
          <w:kern w:val="0"/>
          <w:sz w:val="24"/>
          <w:szCs w:val="24"/>
        </w:rPr>
      </w:pPr>
      <w:r>
        <w:rPr>
          <w:rFonts w:hint="eastAsia" w:cs="Arial" w:asciiTheme="majorEastAsia" w:hAnsiTheme="majorEastAsia" w:eastAsiaTheme="majorEastAsia"/>
          <w:color w:val="000000"/>
          <w:kern w:val="0"/>
          <w:sz w:val="24"/>
          <w:szCs w:val="24"/>
        </w:rPr>
        <w:t>第三十二条 本章程于二零</w:t>
      </w:r>
      <w:r>
        <w:rPr>
          <w:rFonts w:hint="eastAsia" w:cs="Arial" w:asciiTheme="majorEastAsia" w:hAnsiTheme="majorEastAsia" w:eastAsiaTheme="majorEastAsia"/>
          <w:color w:val="000000"/>
          <w:kern w:val="0"/>
          <w:sz w:val="24"/>
          <w:szCs w:val="24"/>
          <w:lang w:eastAsia="zh-CN"/>
        </w:rPr>
        <w:t>二四</w:t>
      </w:r>
      <w:r>
        <w:rPr>
          <w:rFonts w:hint="eastAsia" w:cs="Arial" w:asciiTheme="majorEastAsia" w:hAnsiTheme="majorEastAsia" w:eastAsiaTheme="majorEastAsia"/>
          <w:color w:val="000000"/>
          <w:kern w:val="0"/>
          <w:sz w:val="24"/>
          <w:szCs w:val="24"/>
        </w:rPr>
        <w:t>年</w:t>
      </w:r>
      <w:r>
        <w:rPr>
          <w:rFonts w:hint="eastAsia" w:cs="Arial" w:asciiTheme="majorEastAsia" w:hAnsiTheme="majorEastAsia" w:eastAsiaTheme="majorEastAsia"/>
          <w:color w:val="000000"/>
          <w:kern w:val="0"/>
          <w:sz w:val="24"/>
          <w:szCs w:val="24"/>
          <w:lang w:eastAsia="zh-CN"/>
        </w:rPr>
        <w:t>三</w:t>
      </w:r>
      <w:r>
        <w:rPr>
          <w:rFonts w:hint="eastAsia" w:cs="Arial" w:asciiTheme="majorEastAsia" w:hAnsiTheme="majorEastAsia" w:eastAsiaTheme="majorEastAsia"/>
          <w:color w:val="000000"/>
          <w:kern w:val="0"/>
          <w:sz w:val="24"/>
          <w:szCs w:val="24"/>
        </w:rPr>
        <w:t>月</w:t>
      </w:r>
      <w:r>
        <w:rPr>
          <w:rFonts w:hint="eastAsia" w:cs="Arial" w:asciiTheme="majorEastAsia" w:hAnsiTheme="majorEastAsia" w:eastAsiaTheme="majorEastAsia"/>
          <w:color w:val="000000"/>
          <w:kern w:val="0"/>
          <w:sz w:val="24"/>
          <w:szCs w:val="24"/>
          <w:lang w:eastAsia="zh-CN"/>
        </w:rPr>
        <w:t>二十</w:t>
      </w:r>
      <w:r>
        <w:rPr>
          <w:rFonts w:hint="eastAsia" w:cs="Arial" w:asciiTheme="majorEastAsia" w:hAnsiTheme="majorEastAsia" w:eastAsiaTheme="majorEastAsia"/>
          <w:color w:val="000000"/>
          <w:kern w:val="0"/>
          <w:sz w:val="24"/>
          <w:szCs w:val="24"/>
        </w:rPr>
        <w:t>日</w:t>
      </w:r>
      <w:r>
        <w:rPr>
          <w:rFonts w:hint="eastAsia" w:cs="Arial" w:asciiTheme="majorEastAsia" w:hAnsiTheme="majorEastAsia" w:eastAsiaTheme="majorEastAsia"/>
          <w:color w:val="000000"/>
          <w:kern w:val="0"/>
          <w:sz w:val="24"/>
          <w:szCs w:val="24"/>
          <w:lang w:eastAsia="zh-CN"/>
        </w:rPr>
        <w:t>修订</w:t>
      </w:r>
      <w:r>
        <w:rPr>
          <w:rFonts w:hint="eastAsia" w:cs="Arial" w:asciiTheme="majorEastAsia" w:hAnsiTheme="majorEastAsia" w:eastAsiaTheme="majorEastAsia"/>
          <w:color w:val="000000"/>
          <w:kern w:val="0"/>
          <w:sz w:val="24"/>
          <w:szCs w:val="24"/>
        </w:rPr>
        <w:t>，自二零</w:t>
      </w:r>
      <w:r>
        <w:rPr>
          <w:rFonts w:hint="eastAsia" w:cs="Arial" w:asciiTheme="majorEastAsia" w:hAnsiTheme="majorEastAsia" w:eastAsiaTheme="majorEastAsia"/>
          <w:color w:val="000000"/>
          <w:kern w:val="0"/>
          <w:sz w:val="24"/>
          <w:szCs w:val="24"/>
          <w:lang w:eastAsia="zh-CN"/>
        </w:rPr>
        <w:t>二四</w:t>
      </w:r>
      <w:r>
        <w:rPr>
          <w:rFonts w:hint="eastAsia" w:cs="Arial" w:asciiTheme="majorEastAsia" w:hAnsiTheme="majorEastAsia" w:eastAsiaTheme="majorEastAsia"/>
          <w:color w:val="000000"/>
          <w:kern w:val="0"/>
          <w:sz w:val="24"/>
          <w:szCs w:val="24"/>
        </w:rPr>
        <w:t>年</w:t>
      </w:r>
      <w:r>
        <w:rPr>
          <w:rFonts w:hint="eastAsia" w:cs="Arial" w:asciiTheme="majorEastAsia" w:hAnsiTheme="majorEastAsia" w:eastAsiaTheme="majorEastAsia"/>
          <w:color w:val="000000"/>
          <w:kern w:val="0"/>
          <w:sz w:val="24"/>
          <w:szCs w:val="24"/>
          <w:lang w:eastAsia="zh-CN"/>
        </w:rPr>
        <w:t>三</w:t>
      </w:r>
      <w:r>
        <w:rPr>
          <w:rFonts w:hint="eastAsia" w:cs="Arial" w:asciiTheme="majorEastAsia" w:hAnsiTheme="majorEastAsia" w:eastAsiaTheme="majorEastAsia"/>
          <w:color w:val="000000"/>
          <w:kern w:val="0"/>
          <w:sz w:val="24"/>
          <w:szCs w:val="24"/>
        </w:rPr>
        <w:t>月</w:t>
      </w:r>
      <w:r>
        <w:rPr>
          <w:rFonts w:hint="eastAsia" w:cs="Arial" w:asciiTheme="majorEastAsia" w:hAnsiTheme="majorEastAsia" w:eastAsiaTheme="majorEastAsia"/>
          <w:color w:val="000000"/>
          <w:kern w:val="0"/>
          <w:sz w:val="24"/>
          <w:szCs w:val="24"/>
          <w:lang w:eastAsia="zh-CN"/>
        </w:rPr>
        <w:t>二十</w:t>
      </w:r>
      <w:r>
        <w:rPr>
          <w:rFonts w:hint="eastAsia" w:cs="Arial" w:asciiTheme="majorEastAsia" w:hAnsiTheme="majorEastAsia" w:eastAsiaTheme="majorEastAsia"/>
          <w:color w:val="000000"/>
          <w:kern w:val="0"/>
          <w:sz w:val="24"/>
          <w:szCs w:val="24"/>
        </w:rPr>
        <w:t xml:space="preserve">日开始执行。  </w:t>
      </w:r>
    </w:p>
    <w:p w14:paraId="546C2291">
      <w:pPr>
        <w:widowControl/>
        <w:ind w:left="105"/>
        <w:rPr>
          <w:rFonts w:cs="Calibri"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r>
        <w:rPr>
          <w:rFonts w:hint="eastAsia" w:cs="Calibri" w:asciiTheme="majorEastAsia" w:hAnsiTheme="majorEastAsia" w:eastAsiaTheme="majorEastAsia"/>
          <w:color w:val="000000"/>
          <w:kern w:val="0"/>
          <w:sz w:val="24"/>
          <w:szCs w:val="24"/>
        </w:rPr>
        <w:t xml:space="preserve"> </w:t>
      </w:r>
    </w:p>
    <w:p w14:paraId="6E163EBC">
      <w:pPr>
        <w:widowControl/>
        <w:ind w:left="105"/>
      </w:pPr>
    </w:p>
    <w:tbl>
      <w:tblPr>
        <w:tblStyle w:val="6"/>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2"/>
      </w:tblGrid>
      <w:tr w14:paraId="758B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tcPr>
          <w:p w14:paraId="21385159">
            <w:pPr>
              <w:pStyle w:val="12"/>
              <w:spacing w:line="360" w:lineRule="auto"/>
              <w:ind w:left="105" w:firstLine="0" w:firstLineChars="0"/>
              <w:jc w:val="center"/>
              <w:rPr>
                <w:rFonts w:ascii="宋体" w:hAnsi="宋体" w:cs="宋体"/>
                <w:sz w:val="24"/>
                <w:szCs w:val="24"/>
              </w:rPr>
            </w:pPr>
          </w:p>
        </w:tc>
        <w:tc>
          <w:tcPr>
            <w:tcW w:w="2251" w:type="dxa"/>
          </w:tcPr>
          <w:p w14:paraId="00B1A160">
            <w:pPr>
              <w:pStyle w:val="12"/>
              <w:spacing w:line="360" w:lineRule="auto"/>
              <w:ind w:left="105" w:firstLine="0" w:firstLineChars="0"/>
              <w:jc w:val="center"/>
              <w:rPr>
                <w:rFonts w:ascii="宋体" w:hAnsi="宋体" w:cs="宋体"/>
                <w:sz w:val="24"/>
                <w:szCs w:val="24"/>
              </w:rPr>
            </w:pPr>
            <w:r>
              <w:rPr>
                <w:rFonts w:hint="eastAsia" w:ascii="宋体" w:hAnsi="宋体" w:cs="宋体"/>
                <w:sz w:val="24"/>
                <w:szCs w:val="24"/>
              </w:rPr>
              <w:t>制订人</w:t>
            </w:r>
          </w:p>
        </w:tc>
        <w:tc>
          <w:tcPr>
            <w:tcW w:w="2251" w:type="dxa"/>
          </w:tcPr>
          <w:p w14:paraId="698F4910">
            <w:pPr>
              <w:pStyle w:val="12"/>
              <w:spacing w:line="360" w:lineRule="auto"/>
              <w:ind w:left="105" w:firstLine="0" w:firstLineChars="0"/>
              <w:jc w:val="center"/>
              <w:rPr>
                <w:rFonts w:ascii="宋体" w:hAnsi="宋体" w:cs="宋体"/>
                <w:sz w:val="24"/>
                <w:szCs w:val="24"/>
              </w:rPr>
            </w:pPr>
            <w:r>
              <w:rPr>
                <w:rFonts w:hint="eastAsia" w:ascii="宋体" w:hAnsi="宋体" w:cs="宋体"/>
                <w:sz w:val="24"/>
                <w:szCs w:val="24"/>
              </w:rPr>
              <w:t>审核人</w:t>
            </w:r>
          </w:p>
        </w:tc>
        <w:tc>
          <w:tcPr>
            <w:tcW w:w="2252" w:type="dxa"/>
          </w:tcPr>
          <w:p w14:paraId="6235A372">
            <w:pPr>
              <w:pStyle w:val="12"/>
              <w:spacing w:line="360" w:lineRule="auto"/>
              <w:ind w:left="105" w:firstLine="0" w:firstLineChars="0"/>
              <w:jc w:val="center"/>
              <w:rPr>
                <w:rFonts w:ascii="宋体" w:hAnsi="宋体" w:cs="宋体"/>
                <w:sz w:val="24"/>
                <w:szCs w:val="24"/>
              </w:rPr>
            </w:pPr>
            <w:r>
              <w:rPr>
                <w:rFonts w:hint="eastAsia" w:ascii="宋体" w:hAnsi="宋体" w:cs="宋体"/>
                <w:sz w:val="24"/>
                <w:szCs w:val="24"/>
              </w:rPr>
              <w:t>批准人</w:t>
            </w:r>
          </w:p>
        </w:tc>
      </w:tr>
      <w:tr w14:paraId="3F55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tcPr>
          <w:p w14:paraId="7DEF2714">
            <w:pPr>
              <w:pStyle w:val="12"/>
              <w:spacing w:line="360" w:lineRule="auto"/>
              <w:ind w:left="105" w:firstLine="0" w:firstLineChars="0"/>
              <w:jc w:val="center"/>
              <w:rPr>
                <w:rFonts w:ascii="宋体" w:hAnsi="宋体" w:cs="宋体"/>
                <w:sz w:val="24"/>
                <w:szCs w:val="24"/>
              </w:rPr>
            </w:pPr>
            <w:r>
              <w:rPr>
                <w:rFonts w:hint="eastAsia" w:ascii="宋体" w:hAnsi="宋体" w:cs="宋体"/>
                <w:sz w:val="24"/>
                <w:szCs w:val="24"/>
              </w:rPr>
              <w:t>姓名</w:t>
            </w:r>
          </w:p>
        </w:tc>
        <w:tc>
          <w:tcPr>
            <w:tcW w:w="2251" w:type="dxa"/>
          </w:tcPr>
          <w:p w14:paraId="045D1F0C">
            <w:pPr>
              <w:pStyle w:val="12"/>
              <w:spacing w:line="360" w:lineRule="auto"/>
              <w:ind w:left="105" w:firstLine="0" w:firstLineChars="0"/>
              <w:jc w:val="center"/>
              <w:rPr>
                <w:rFonts w:ascii="宋体" w:hAnsi="宋体" w:cs="宋体"/>
                <w:sz w:val="24"/>
                <w:szCs w:val="24"/>
              </w:rPr>
            </w:pPr>
          </w:p>
        </w:tc>
        <w:tc>
          <w:tcPr>
            <w:tcW w:w="2251" w:type="dxa"/>
          </w:tcPr>
          <w:p w14:paraId="2B5EE4C9">
            <w:pPr>
              <w:pStyle w:val="12"/>
              <w:spacing w:line="360" w:lineRule="auto"/>
              <w:ind w:left="105" w:firstLine="0" w:firstLineChars="0"/>
              <w:jc w:val="center"/>
              <w:rPr>
                <w:rFonts w:ascii="宋体" w:hAnsi="宋体" w:cs="宋体"/>
                <w:sz w:val="24"/>
                <w:szCs w:val="24"/>
              </w:rPr>
            </w:pPr>
          </w:p>
        </w:tc>
        <w:tc>
          <w:tcPr>
            <w:tcW w:w="2252" w:type="dxa"/>
          </w:tcPr>
          <w:p w14:paraId="5451F9C2">
            <w:pPr>
              <w:pStyle w:val="12"/>
              <w:spacing w:line="360" w:lineRule="auto"/>
              <w:ind w:left="105" w:firstLine="0" w:firstLineChars="0"/>
              <w:jc w:val="center"/>
              <w:rPr>
                <w:rFonts w:ascii="宋体" w:hAnsi="宋体" w:cs="宋体"/>
                <w:sz w:val="24"/>
                <w:szCs w:val="24"/>
              </w:rPr>
            </w:pPr>
          </w:p>
        </w:tc>
      </w:tr>
      <w:tr w14:paraId="00D6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tcPr>
          <w:p w14:paraId="06C6F70E">
            <w:pPr>
              <w:pStyle w:val="12"/>
              <w:spacing w:line="360" w:lineRule="auto"/>
              <w:ind w:left="105" w:firstLine="0" w:firstLineChars="0"/>
              <w:jc w:val="center"/>
              <w:rPr>
                <w:rFonts w:ascii="宋体" w:hAnsi="宋体" w:cs="宋体"/>
                <w:sz w:val="24"/>
                <w:szCs w:val="24"/>
              </w:rPr>
            </w:pPr>
            <w:r>
              <w:rPr>
                <w:rFonts w:hint="eastAsia" w:ascii="宋体" w:hAnsi="宋体" w:cs="宋体"/>
                <w:sz w:val="24"/>
                <w:szCs w:val="24"/>
              </w:rPr>
              <w:t>日期</w:t>
            </w:r>
          </w:p>
        </w:tc>
        <w:tc>
          <w:tcPr>
            <w:tcW w:w="2251" w:type="dxa"/>
          </w:tcPr>
          <w:p w14:paraId="022A2F18">
            <w:pPr>
              <w:pStyle w:val="12"/>
              <w:spacing w:line="360" w:lineRule="auto"/>
              <w:ind w:left="105" w:firstLine="0" w:firstLineChars="0"/>
              <w:jc w:val="center"/>
              <w:rPr>
                <w:rFonts w:ascii="宋体" w:hAnsi="宋体" w:cs="宋体"/>
                <w:sz w:val="24"/>
                <w:szCs w:val="24"/>
              </w:rPr>
            </w:pPr>
          </w:p>
        </w:tc>
        <w:tc>
          <w:tcPr>
            <w:tcW w:w="2251" w:type="dxa"/>
          </w:tcPr>
          <w:p w14:paraId="02F15212">
            <w:pPr>
              <w:pStyle w:val="12"/>
              <w:spacing w:line="360" w:lineRule="auto"/>
              <w:ind w:left="105" w:firstLine="0" w:firstLineChars="0"/>
              <w:jc w:val="center"/>
              <w:rPr>
                <w:rFonts w:ascii="宋体" w:hAnsi="宋体" w:cs="宋体"/>
                <w:sz w:val="24"/>
                <w:szCs w:val="24"/>
              </w:rPr>
            </w:pPr>
          </w:p>
        </w:tc>
        <w:tc>
          <w:tcPr>
            <w:tcW w:w="2252" w:type="dxa"/>
          </w:tcPr>
          <w:p w14:paraId="3122EF03">
            <w:pPr>
              <w:pStyle w:val="12"/>
              <w:spacing w:line="360" w:lineRule="auto"/>
              <w:ind w:left="105" w:firstLine="0" w:firstLineChars="0"/>
              <w:rPr>
                <w:rFonts w:ascii="宋体" w:hAnsi="宋体" w:cs="宋体"/>
                <w:sz w:val="24"/>
                <w:szCs w:val="24"/>
              </w:rPr>
            </w:pPr>
          </w:p>
        </w:tc>
      </w:tr>
    </w:tbl>
    <w:p w14:paraId="39EC79F5">
      <w:pPr>
        <w:autoSpaceDE w:val="0"/>
        <w:spacing w:line="360" w:lineRule="auto"/>
        <w:ind w:left="105" w:firstLine="1440" w:firstLineChars="600"/>
        <w:rPr>
          <w:rFonts w:ascii="宋体" w:hAnsi="宋体"/>
          <w:sz w:val="24"/>
        </w:rPr>
      </w:pPr>
      <w:r>
        <w:rPr>
          <w:rFonts w:hint="eastAsia" w:ascii="宋体" w:hAnsi="宋体"/>
          <w:sz w:val="24"/>
        </w:rPr>
        <w:t>发布日期：                          生效日期：</w:t>
      </w:r>
    </w:p>
    <w:p w14:paraId="3532FCC0">
      <w:pPr>
        <w:spacing w:line="360" w:lineRule="auto"/>
        <w:ind w:left="105"/>
        <w:rPr>
          <w:bCs/>
          <w:sz w:val="24"/>
        </w:rPr>
      </w:pPr>
    </w:p>
    <w:p w14:paraId="70A3C8BE">
      <w:pPr>
        <w:spacing w:line="360" w:lineRule="auto"/>
        <w:ind w:left="0" w:leftChars="0" w:firstLine="484" w:firstLineChars="202"/>
        <w:rPr>
          <w:sz w:val="24"/>
          <w:szCs w:val="24"/>
        </w:rPr>
      </w:pPr>
    </w:p>
    <w:p w14:paraId="0E5FE8B8">
      <w:pPr>
        <w:spacing w:line="360" w:lineRule="auto"/>
        <w:ind w:left="0" w:leftChars="0" w:firstLine="484" w:firstLineChars="202"/>
        <w:rPr>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05"/>
      </w:pPr>
      <w:r>
        <w:separator/>
      </w:r>
    </w:p>
  </w:endnote>
  <w:endnote w:type="continuationSeparator" w:id="1">
    <w:p>
      <w:pPr>
        <w:spacing w:line="240" w:lineRule="auto"/>
        <w:ind w:lef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60110"/>
      <w:docPartObj>
        <w:docPartGallery w:val="autotext"/>
      </w:docPartObj>
    </w:sdtPr>
    <w:sdtContent>
      <w:p w14:paraId="49678316">
        <w:pPr>
          <w:pStyle w:val="4"/>
          <w:ind w:left="105"/>
          <w:jc w:val="center"/>
        </w:pPr>
        <w:r>
          <w:fldChar w:fldCharType="begin"/>
        </w:r>
        <w:r>
          <w:instrText xml:space="preserve"> PAGE   \* MERGEFORMAT </w:instrText>
        </w:r>
        <w:r>
          <w:fldChar w:fldCharType="separate"/>
        </w:r>
        <w:r>
          <w:rPr>
            <w:lang w:val="zh-CN"/>
          </w:rPr>
          <w:t>1</w:t>
        </w:r>
        <w:r>
          <w:rPr>
            <w:lang w:val="zh-CN"/>
          </w:rPr>
          <w:fldChar w:fldCharType="end"/>
        </w:r>
      </w:p>
    </w:sdtContent>
  </w:sdt>
  <w:p w14:paraId="3FDD3032">
    <w:pPr>
      <w:pStyle w:val="4"/>
      <w:ind w:left="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5C3D">
    <w:pPr>
      <w:pStyle w:val="4"/>
      <w:ind w:left="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6454">
    <w:pPr>
      <w:pStyle w:val="4"/>
      <w:ind w:left="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05"/>
      </w:pPr>
      <w:r>
        <w:separator/>
      </w:r>
    </w:p>
  </w:footnote>
  <w:footnote w:type="continuationSeparator" w:id="1">
    <w:p>
      <w:pPr>
        <w:spacing w:line="240" w:lineRule="auto"/>
        <w:ind w:lef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B566">
    <w:pPr>
      <w:pStyle w:val="5"/>
      <w:ind w:left="0" w:leftChars="0" w:firstLine="0"/>
      <w:jc w:val="both"/>
      <w:rPr>
        <w:rFonts w:hint="eastAsia" w:eastAsiaTheme="minorEastAsia"/>
        <w:lang w:val="en-US" w:eastAsia="zh-CN"/>
      </w:rPr>
    </w:pPr>
    <w:r>
      <w:t>医学伦理委员会章程</w:t>
    </w:r>
    <w:r>
      <w:rPr>
        <w:rFonts w:hint="eastAsia"/>
      </w:rPr>
      <w:t xml:space="preserve">                                                          </w:t>
    </w:r>
    <w:r>
      <w:rPr>
        <w:rFonts w:ascii="Times New Roman" w:hAnsi="Times New Roman" w:cs="Times New Roman"/>
      </w:rPr>
      <w:t>IEC-ZD-01.01-</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494C">
    <w:pPr>
      <w:pStyle w:val="5"/>
      <w:ind w:left="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62A7">
    <w:pPr>
      <w:pStyle w:val="5"/>
      <w:ind w:lef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NkMWEwMTFhZWJhMmYxNzg5ZTVhOGMyM2U1NjBjMjIifQ=="/>
  </w:docVars>
  <w:rsids>
    <w:rsidRoot w:val="000E277F"/>
    <w:rsid w:val="00043896"/>
    <w:rsid w:val="000578A9"/>
    <w:rsid w:val="0006269B"/>
    <w:rsid w:val="00070B4F"/>
    <w:rsid w:val="000845B5"/>
    <w:rsid w:val="000A492C"/>
    <w:rsid w:val="000B58DF"/>
    <w:rsid w:val="000D3249"/>
    <w:rsid w:val="000E277F"/>
    <w:rsid w:val="00133B08"/>
    <w:rsid w:val="00146652"/>
    <w:rsid w:val="00153DF3"/>
    <w:rsid w:val="001902E4"/>
    <w:rsid w:val="00194DC7"/>
    <w:rsid w:val="001B2869"/>
    <w:rsid w:val="001D0841"/>
    <w:rsid w:val="00220FA5"/>
    <w:rsid w:val="00247561"/>
    <w:rsid w:val="00265FDE"/>
    <w:rsid w:val="00293782"/>
    <w:rsid w:val="002B56C1"/>
    <w:rsid w:val="00305FFE"/>
    <w:rsid w:val="00314AE7"/>
    <w:rsid w:val="003161AD"/>
    <w:rsid w:val="0031781D"/>
    <w:rsid w:val="00347845"/>
    <w:rsid w:val="003535F5"/>
    <w:rsid w:val="003856E2"/>
    <w:rsid w:val="003863A8"/>
    <w:rsid w:val="003A0519"/>
    <w:rsid w:val="00414973"/>
    <w:rsid w:val="004670FE"/>
    <w:rsid w:val="00560203"/>
    <w:rsid w:val="005A4290"/>
    <w:rsid w:val="0060229B"/>
    <w:rsid w:val="00622B70"/>
    <w:rsid w:val="0065097E"/>
    <w:rsid w:val="006C72A5"/>
    <w:rsid w:val="006E2B7D"/>
    <w:rsid w:val="00702B9D"/>
    <w:rsid w:val="00774409"/>
    <w:rsid w:val="00841351"/>
    <w:rsid w:val="00841B75"/>
    <w:rsid w:val="00883344"/>
    <w:rsid w:val="008C4552"/>
    <w:rsid w:val="008D70B4"/>
    <w:rsid w:val="00922589"/>
    <w:rsid w:val="00985E8C"/>
    <w:rsid w:val="009D146E"/>
    <w:rsid w:val="009E02C2"/>
    <w:rsid w:val="009E31D8"/>
    <w:rsid w:val="00A3503B"/>
    <w:rsid w:val="00A839E0"/>
    <w:rsid w:val="00A8657D"/>
    <w:rsid w:val="00AC354C"/>
    <w:rsid w:val="00AD56EC"/>
    <w:rsid w:val="00B54D5F"/>
    <w:rsid w:val="00BB7506"/>
    <w:rsid w:val="00BC4540"/>
    <w:rsid w:val="00C057BA"/>
    <w:rsid w:val="00C32973"/>
    <w:rsid w:val="00C83EE5"/>
    <w:rsid w:val="00C9353B"/>
    <w:rsid w:val="00D10578"/>
    <w:rsid w:val="00DC161C"/>
    <w:rsid w:val="00EA7869"/>
    <w:rsid w:val="00EC09FC"/>
    <w:rsid w:val="00ED7A1E"/>
    <w:rsid w:val="00F94ECB"/>
    <w:rsid w:val="00FC4CC5"/>
    <w:rsid w:val="00FF61F1"/>
    <w:rsid w:val="01255432"/>
    <w:rsid w:val="147A357D"/>
    <w:rsid w:val="156C676A"/>
    <w:rsid w:val="18E44ED5"/>
    <w:rsid w:val="23D9206E"/>
    <w:rsid w:val="3BE64ED1"/>
    <w:rsid w:val="48052B82"/>
    <w:rsid w:val="49DA79C3"/>
    <w:rsid w:val="4C6F7406"/>
    <w:rsid w:val="524342C1"/>
    <w:rsid w:val="5875165E"/>
    <w:rsid w:val="67EA4D73"/>
    <w:rsid w:val="71AF5789"/>
    <w:rsid w:val="72E41463"/>
    <w:rsid w:val="76F123A0"/>
    <w:rsid w:val="7F482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left="50" w:leftChars="50" w:firstLine="374"/>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1"/>
    <w:semiHidden/>
    <w:unhideWhenUsed/>
    <w:uiPriority w:val="99"/>
    <w:pPr>
      <w:spacing w:line="240" w:lineRule="auto"/>
    </w:pPr>
    <w:rPr>
      <w:sz w:val="18"/>
      <w:szCs w:val="18"/>
    </w:rPr>
  </w:style>
  <w:style w:type="paragraph" w:styleId="4">
    <w:name w:val="footer"/>
    <w:basedOn w:val="1"/>
    <w:link w:val="10"/>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List Paragraph"/>
    <w:basedOn w:val="1"/>
    <w:autoRedefine/>
    <w:qFormat/>
    <w:uiPriority w:val="34"/>
    <w:pPr>
      <w:ind w:firstLine="420" w:firstLineChars="200"/>
    </w:pPr>
  </w:style>
  <w:style w:type="character" w:customStyle="1" w:styleId="9">
    <w:name w:val="页眉 Char"/>
    <w:basedOn w:val="7"/>
    <w:link w:val="5"/>
    <w:semiHidden/>
    <w:uiPriority w:val="99"/>
    <w:rPr>
      <w:sz w:val="18"/>
      <w:szCs w:val="18"/>
    </w:rPr>
  </w:style>
  <w:style w:type="character" w:customStyle="1" w:styleId="10">
    <w:name w:val="页脚 Char"/>
    <w:basedOn w:val="7"/>
    <w:link w:val="4"/>
    <w:autoRedefine/>
    <w:uiPriority w:val="99"/>
    <w:rPr>
      <w:sz w:val="18"/>
      <w:szCs w:val="18"/>
    </w:rPr>
  </w:style>
  <w:style w:type="character" w:customStyle="1" w:styleId="11">
    <w:name w:val="批注框文本 Char"/>
    <w:basedOn w:val="7"/>
    <w:link w:val="3"/>
    <w:semiHidden/>
    <w:uiPriority w:val="99"/>
    <w:rPr>
      <w:sz w:val="18"/>
      <w:szCs w:val="18"/>
    </w:rPr>
  </w:style>
  <w:style w:type="paragraph" w:customStyle="1" w:styleId="12">
    <w:name w:val="列出段落1"/>
    <w:basedOn w:val="1"/>
    <w:uiPriority w:val="0"/>
    <w:pPr>
      <w:spacing w:line="240" w:lineRule="auto"/>
      <w:ind w:left="0" w:leftChars="0"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E441E-5B89-4288-BF98-0AC74F1C803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3638</Words>
  <Characters>3694</Characters>
  <Lines>27</Lines>
  <Paragraphs>7</Paragraphs>
  <TotalTime>1</TotalTime>
  <ScaleCrop>false</ScaleCrop>
  <LinksUpToDate>false</LinksUpToDate>
  <CharactersWithSpaces>3770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2017-07-18T07:49:00Z</dcterms:created>
  <dc:creator>renguiyuran</dc:creator>
  <cp:lastModifiedBy>Administrator</cp:lastModifiedBy>
  <cp:lastPrinted>2017-03-18T14:08:00Z</cp:lastPrinted>
  <dcterms:modified xsi:type="dcterms:W3CDTF">2024-08-08T03:24:06Z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384F21FD33164300B600B9A0AF3BBE40_12</vt:lpwstr>
  </property>
</Properties>
</file>